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720919">
        <w:rPr>
          <w:rFonts w:ascii="Times New Roman" w:hAnsi="Times New Roman" w:cs="Times New Roman"/>
          <w:sz w:val="24"/>
          <w:szCs w:val="24"/>
        </w:rPr>
        <w:t>085 /CMV/94</w:t>
      </w:r>
      <w:r w:rsidR="00720919">
        <w:rPr>
          <w:rFonts w:ascii="Times New Roman" w:hAnsi="Times New Roman" w:cs="Times New Roman"/>
          <w:sz w:val="24"/>
          <w:szCs w:val="24"/>
        </w:rPr>
        <w:tab/>
      </w:r>
      <w:r w:rsidR="00720919">
        <w:rPr>
          <w:rFonts w:ascii="Times New Roman" w:hAnsi="Times New Roman" w:cs="Times New Roman"/>
          <w:sz w:val="24"/>
          <w:szCs w:val="24"/>
        </w:rPr>
        <w:tab/>
      </w:r>
      <w:r w:rsidR="00720919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720919">
        <w:rPr>
          <w:rFonts w:ascii="Times New Roman" w:hAnsi="Times New Roman" w:cs="Times New Roman"/>
          <w:sz w:val="24"/>
          <w:szCs w:val="24"/>
        </w:rPr>
        <w:t xml:space="preserve">28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720919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720919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720919">
        <w:rPr>
          <w:rFonts w:ascii="Times New Roman" w:hAnsi="Times New Roman" w:cs="Times New Roman"/>
          <w:sz w:val="24"/>
          <w:szCs w:val="24"/>
        </w:rPr>
        <w:t xml:space="preserve"> Arlindo Vogel, na sessão do dia 27 de julho, do corrente ano, as seguintes providencias:</w:t>
      </w:r>
    </w:p>
    <w:p w:rsidR="00720919" w:rsidRDefault="00720919" w:rsidP="0072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Colocação de placa com o nome da localidade de Picada Schneider junto a entrada da mesma.</w:t>
      </w:r>
    </w:p>
    <w:p w:rsidR="00720919" w:rsidRDefault="00720919" w:rsidP="0072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Colocação de placa na localidade de Picada Schneider, com o nome da localidade de Morro Bock junto a entrada da mesma.</w:t>
      </w:r>
    </w:p>
    <w:p w:rsidR="00720919" w:rsidRDefault="00720919" w:rsidP="0072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Perfuração de poço artesiano na localidade de Picada Schneider.</w:t>
      </w:r>
    </w:p>
    <w:p w:rsidR="002A03A6" w:rsidRPr="00D57E72" w:rsidRDefault="00720919" w:rsidP="0072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Justificam-se as solicitações, as duas primeiras, por evitarem o inconveniente de pessoas que não conhecem o Município passarem pelas entradas, e a terceira, por solucionar o problema da falta de água na localidade.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720919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2015-10-07T17:04:00Z</dcterms:modified>
</cp:coreProperties>
</file>