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B11E85">
        <w:rPr>
          <w:rFonts w:ascii="Times New Roman" w:hAnsi="Times New Roman" w:cs="Times New Roman"/>
          <w:sz w:val="24"/>
          <w:szCs w:val="24"/>
        </w:rPr>
        <w:t>156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B11E85">
        <w:rPr>
          <w:rFonts w:ascii="Times New Roman" w:hAnsi="Times New Roman" w:cs="Times New Roman"/>
          <w:sz w:val="24"/>
          <w:szCs w:val="24"/>
        </w:rPr>
        <w:t>08 de dezembro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B11E85">
        <w:rPr>
          <w:rFonts w:ascii="Times New Roman" w:hAnsi="Times New Roman" w:cs="Times New Roman"/>
          <w:sz w:val="24"/>
          <w:szCs w:val="24"/>
        </w:rPr>
        <w:t>Mauro Moacir Diefenbach, na sessão realizada no dia 07 do presente mês, a liberação de verbas por parte da prefeitura para esporte clube soberano e para o CTG Aroni Mossmann.</w:t>
      </w:r>
    </w:p>
    <w:p w:rsidR="00B11E85" w:rsidRPr="00D57E72" w:rsidRDefault="00B11E85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Como se trata de entidades sociais, e, por estarem em construção e ampliação suas sedes, seria oportuna a colaboração.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11E85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2015-11-10T13:33:00Z</dcterms:modified>
</cp:coreProperties>
</file>