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54" w:rsidRDefault="004B1638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Ref:Of.n</w:t>
      </w:r>
      <w:proofErr w:type="gramEnd"/>
      <w:r>
        <w:rPr>
          <w:rFonts w:ascii="Times New Roman" w:hAnsi="Times New Roman" w:cs="Times New Roman"/>
          <w:sz w:val="24"/>
        </w:rPr>
        <w:t>°132/CMV/99</w:t>
      </w:r>
    </w:p>
    <w:p w:rsidR="004B1638" w:rsidRDefault="004B1638">
      <w:pPr>
        <w:rPr>
          <w:rFonts w:ascii="Times New Roman" w:hAnsi="Times New Roman" w:cs="Times New Roman"/>
          <w:sz w:val="24"/>
        </w:rPr>
      </w:pPr>
    </w:p>
    <w:p w:rsidR="004B1638" w:rsidRDefault="004B16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Senhor Presidente</w:t>
      </w:r>
    </w:p>
    <w:p w:rsidR="004B1638" w:rsidRDefault="004B1638">
      <w:pPr>
        <w:rPr>
          <w:rFonts w:ascii="Times New Roman" w:hAnsi="Times New Roman" w:cs="Times New Roman"/>
          <w:sz w:val="24"/>
        </w:rPr>
      </w:pPr>
    </w:p>
    <w:p w:rsidR="004B1638" w:rsidRDefault="004B16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Em resposta ao pedido de informação n°018/99, enviado através da correspondência acima referida, para o devido esclarecimento da comunidade Lucenense, faz-se necessário apresentar alguns fatos:</w:t>
      </w:r>
    </w:p>
    <w:p w:rsidR="004B1638" w:rsidRDefault="004B1638" w:rsidP="004B163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 valores da remuneração de todos os cargos municipais, seja de servidores efetivos, seja de funções de confiança, foram definidos em Lei Municipal, aprovada por esta colenda Câmara de Vereadores;</w:t>
      </w:r>
    </w:p>
    <w:p w:rsidR="004B1638" w:rsidRDefault="004B1638" w:rsidP="004B163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os valores, a seguinte legislação:</w:t>
      </w:r>
    </w:p>
    <w:p w:rsidR="004B1638" w:rsidRDefault="004B1638" w:rsidP="004B163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Lei Municipal n°254, de 13 de janeiro de 1999, publicação de 13 de janeiro a 24 de fevereiro de 1999;</w:t>
      </w:r>
    </w:p>
    <w:p w:rsidR="004B1638" w:rsidRDefault="004B1638" w:rsidP="004B163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Decreto n°017, de 03 de junho de 1999, publicação de 03 a 28 de junho de 1999;</w:t>
      </w:r>
    </w:p>
    <w:p w:rsidR="004B1638" w:rsidRDefault="004B1638" w:rsidP="004B163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 mesma forma, são publicados no painel de publicação todos os atos de nomeação, exoneração e outros, relativos a cargos públicos;</w:t>
      </w:r>
    </w:p>
    <w:p w:rsidR="004B1638" w:rsidRDefault="004B1638" w:rsidP="004B163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Ora, a aprovação da legislação, sua promulgação e respectivas publicações, estas no local de costume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– painel de publicações dos atos oficiais – determinam e demonstram o amplo conhecimento público e a transparência dos atos da administração;</w:t>
      </w:r>
    </w:p>
    <w:p w:rsidR="004B1638" w:rsidRPr="004B1638" w:rsidRDefault="004B1638" w:rsidP="004B163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Logo, a justificativa para o pedido de informações – valores de remuneração, interesse público e transparência quanto aos atos da administração e a aplicação dos recursos públicos, apresentada pelo edil, não encontra guarida.</w:t>
      </w:r>
    </w:p>
    <w:sectPr w:rsidR="004B1638" w:rsidRPr="004B1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E1CE8"/>
    <w:multiLevelType w:val="hybridMultilevel"/>
    <w:tmpl w:val="3BD0EEB4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FE"/>
    <w:rsid w:val="00397954"/>
    <w:rsid w:val="004B1638"/>
    <w:rsid w:val="00E6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8AF8D-542D-49F3-940D-6565F370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2015-10-07T18:55:00Z</dcterms:created>
  <dcterms:modified xsi:type="dcterms:W3CDTF">2015-10-07T19:01:00Z</dcterms:modified>
</cp:coreProperties>
</file>