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F" w:rsidRDefault="008D3CCF" w:rsidP="008D3CCF">
      <w:pPr>
        <w:pStyle w:val="Ttu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COMISSÃO GERAL DE PARECERES</w:t>
      </w:r>
    </w:p>
    <w:p w:rsidR="008D3CCF" w:rsidRDefault="008D3CCF" w:rsidP="008D3CCF">
      <w:pPr>
        <w:jc w:val="center"/>
        <w:rPr>
          <w:sz w:val="22"/>
          <w:szCs w:val="22"/>
        </w:rPr>
      </w:pPr>
    </w:p>
    <w:p w:rsidR="008D3CCF" w:rsidRDefault="008D3CCF" w:rsidP="008D3C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PARECER N° </w:t>
      </w:r>
      <w:r>
        <w:rPr>
          <w:bCs/>
          <w:sz w:val="22"/>
          <w:szCs w:val="22"/>
        </w:rPr>
        <w:t>021/2022</w:t>
      </w:r>
    </w:p>
    <w:p w:rsidR="008D3CCF" w:rsidRDefault="008D3CCF" w:rsidP="008D3C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PROJETO DE LEI </w:t>
      </w:r>
      <w:r>
        <w:rPr>
          <w:bCs/>
          <w:sz w:val="22"/>
          <w:szCs w:val="22"/>
        </w:rPr>
        <w:t>N°: 004/2022</w:t>
      </w:r>
    </w:p>
    <w:p w:rsidR="008D3CCF" w:rsidRDefault="008D3CCF" w:rsidP="008D3CCF">
      <w:pPr>
        <w:jc w:val="both"/>
        <w:rPr>
          <w:sz w:val="22"/>
          <w:szCs w:val="22"/>
        </w:rPr>
      </w:pPr>
      <w:r>
        <w:rPr>
          <w:sz w:val="22"/>
          <w:szCs w:val="22"/>
        </w:rPr>
        <w:t>ORIGEM: Poder Legislativo</w:t>
      </w:r>
    </w:p>
    <w:p w:rsidR="008D3CCF" w:rsidRDefault="008D3CCF" w:rsidP="008D3CCF">
      <w:pPr>
        <w:jc w:val="both"/>
        <w:rPr>
          <w:sz w:val="22"/>
          <w:szCs w:val="22"/>
        </w:rPr>
      </w:pPr>
    </w:p>
    <w:p w:rsidR="008D3CCF" w:rsidRDefault="008D3CCF" w:rsidP="008D3CCF">
      <w:pPr>
        <w:jc w:val="both"/>
        <w:rPr>
          <w:rFonts w:ascii="Bookman Old Style" w:hAnsi="Bookman Old Style"/>
          <w:i/>
          <w:sz w:val="24"/>
        </w:rPr>
      </w:pPr>
      <w:r>
        <w:rPr>
          <w:sz w:val="22"/>
          <w:szCs w:val="22"/>
        </w:rPr>
        <w:t xml:space="preserve">OBJETO: </w:t>
      </w:r>
      <w:r>
        <w:rPr>
          <w:rFonts w:ascii="Bookman Old Style" w:hAnsi="Bookman Old Style"/>
          <w:i/>
          <w:sz w:val="24"/>
        </w:rPr>
        <w:t xml:space="preserve">“REVISA </w:t>
      </w:r>
      <w:r>
        <w:rPr>
          <w:rFonts w:ascii="Bookman Old Style" w:hAnsi="Bookman Old Style"/>
          <w:bCs/>
          <w:i/>
          <w:sz w:val="24"/>
        </w:rPr>
        <w:t xml:space="preserve">OS VENCIMENTOS DOS SERVIDORES DA CÂMARA DE VEREADORES </w:t>
      </w:r>
      <w:r>
        <w:rPr>
          <w:rFonts w:ascii="Bookman Old Style" w:hAnsi="Bookman Old Style"/>
          <w:i/>
          <w:sz w:val="24"/>
        </w:rPr>
        <w:t>”.</w:t>
      </w:r>
    </w:p>
    <w:p w:rsidR="008D3CCF" w:rsidRDefault="008D3CCF" w:rsidP="008D3CCF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8D3CCF" w:rsidTr="008D3CC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Recebido: 16/03/2022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Votado: 23/03/2022</w:t>
            </w:r>
          </w:p>
        </w:tc>
      </w:tr>
    </w:tbl>
    <w:p w:rsidR="008D3CCF" w:rsidRDefault="008D3CCF" w:rsidP="008D3CCF">
      <w:pPr>
        <w:tabs>
          <w:tab w:val="left" w:pos="2268"/>
          <w:tab w:val="left" w:pos="5670"/>
          <w:tab w:val="left" w:pos="5954"/>
        </w:tabs>
        <w:autoSpaceDE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8D3CCF" w:rsidTr="008D3CC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</w:tr>
      <w:tr w:rsidR="008D3CCF" w:rsidTr="008D3CC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Rejeitado</w:t>
            </w:r>
          </w:p>
        </w:tc>
      </w:tr>
      <w:tr w:rsidR="008D3CCF" w:rsidTr="008D3CCF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102F48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D3CCF" w:rsidRDefault="008D3CCF" w:rsidP="008D3CCF">
      <w:pPr>
        <w:tabs>
          <w:tab w:val="left" w:pos="1134"/>
        </w:tabs>
        <w:jc w:val="both"/>
        <w:rPr>
          <w:sz w:val="22"/>
          <w:szCs w:val="22"/>
        </w:rPr>
      </w:pPr>
    </w:p>
    <w:p w:rsidR="008D3CCF" w:rsidRDefault="008D3CCF" w:rsidP="008D3CCF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OLE_LINK4"/>
      <w:bookmarkStart w:id="1" w:name="OLE_LINK3"/>
      <w:r>
        <w:rPr>
          <w:sz w:val="24"/>
          <w:szCs w:val="24"/>
        </w:rPr>
        <w:t xml:space="preserve">Trata-se de projeto de lei com o objetivo </w:t>
      </w:r>
      <w:r w:rsidR="006D4BB1">
        <w:rPr>
          <w:sz w:val="24"/>
          <w:szCs w:val="24"/>
        </w:rPr>
        <w:t xml:space="preserve">de </w:t>
      </w:r>
      <w:r>
        <w:rPr>
          <w:sz w:val="24"/>
          <w:szCs w:val="24"/>
        </w:rPr>
        <w:t>concede</w:t>
      </w:r>
      <w:r w:rsidR="006D4BB1">
        <w:rPr>
          <w:sz w:val="24"/>
          <w:szCs w:val="24"/>
        </w:rPr>
        <w:t>r</w:t>
      </w:r>
      <w:r>
        <w:rPr>
          <w:sz w:val="24"/>
          <w:szCs w:val="24"/>
        </w:rPr>
        <w:t xml:space="preserve"> a revisão geral anual da remuneração e das vantagens dos servidores municipais da Câmara de Vereadores. A proposta é conceder a revisão anual de 10,38%, percentual correspondente ao IPCA acumulado dos últimos 12 meses.</w:t>
      </w:r>
    </w:p>
    <w:p w:rsidR="008D3CCF" w:rsidRDefault="008D3CCF" w:rsidP="008D3CCF">
      <w:pPr>
        <w:spacing w:line="360" w:lineRule="auto"/>
        <w:ind w:firstLine="709"/>
        <w:jc w:val="both"/>
        <w:rPr>
          <w:sz w:val="24"/>
          <w:szCs w:val="24"/>
        </w:rPr>
      </w:pPr>
    </w:p>
    <w:p w:rsidR="008D3CCF" w:rsidRDefault="008D3CCF" w:rsidP="008D3CCF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Conforme Parecer Jurídico n°023/2022, firmado pela Assessora Mariana Appel Klein, é que a proposição é</w:t>
      </w:r>
      <w:r>
        <w:rPr>
          <w:bCs/>
          <w:color w:val="000000"/>
          <w:sz w:val="24"/>
          <w:szCs w:val="24"/>
        </w:rPr>
        <w:t xml:space="preserve"> constitucional e respeita a legalidade razão pela qual o projeto pode tramitar e ser submetido ao Plenário para apreciar o seu mérito.</w:t>
      </w:r>
    </w:p>
    <w:p w:rsidR="008D3CCF" w:rsidRDefault="008D3CCF" w:rsidP="008D3CCF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8D3CCF" w:rsidRDefault="008D3CCF" w:rsidP="008D3CCF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Diante do mesmo nossa manifestação é a que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1732"/>
      </w:tblGrid>
      <w:tr w:rsidR="008D3CCF" w:rsidTr="008D3C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Favorável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Contra</w:t>
            </w:r>
          </w:p>
        </w:tc>
      </w:tr>
      <w:tr w:rsidR="008D3CCF" w:rsidTr="008D3C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Presidente: Vera. Susana Exner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102F48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3CCF" w:rsidTr="008D3C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Vice-Presidente: Ver. Daniel E.  Krummenauer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102F48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3CCF" w:rsidTr="008D3C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Relato</w:t>
            </w:r>
            <w:r w:rsidR="002C4DAC">
              <w:rPr>
                <w:rFonts w:eastAsia="Calibri"/>
                <w:sz w:val="22"/>
                <w:szCs w:val="22"/>
                <w:lang w:eastAsia="en-US"/>
              </w:rPr>
              <w:t>ra: Vera. Karen P. H. Schaeffer</w:t>
            </w:r>
          </w:p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102F48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CF" w:rsidRDefault="008D3CCF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  <w:bookmarkEnd w:id="1"/>
    </w:tbl>
    <w:p w:rsidR="008D1488" w:rsidRDefault="008D1488" w:rsidP="002C4DAC">
      <w:pPr>
        <w:jc w:val="both"/>
        <w:rPr>
          <w:b/>
          <w:sz w:val="24"/>
        </w:rPr>
      </w:pPr>
    </w:p>
    <w:p w:rsidR="00C90E06" w:rsidRPr="00C43835" w:rsidRDefault="00C90E06" w:rsidP="00C90E06">
      <w:pPr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lastRenderedPageBreak/>
        <w:t xml:space="preserve">PARECER JURÍDICO N° </w:t>
      </w:r>
      <w:r>
        <w:rPr>
          <w:rFonts w:ascii="Bookman Old Style" w:hAnsi="Bookman Old Style"/>
          <w:b/>
          <w:sz w:val="24"/>
        </w:rPr>
        <w:t>023/2022</w:t>
      </w:r>
    </w:p>
    <w:p w:rsidR="00C90E06" w:rsidRPr="00C43835" w:rsidRDefault="00C90E06" w:rsidP="00C90E06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REQUERENTE:</w:t>
      </w:r>
      <w:r w:rsidRPr="00C43835">
        <w:rPr>
          <w:rFonts w:ascii="Bookman Old Style" w:hAnsi="Bookman Old Style"/>
          <w:sz w:val="24"/>
        </w:rPr>
        <w:t xml:space="preserve"> Comissão Geral de Pareceres</w:t>
      </w:r>
    </w:p>
    <w:p w:rsidR="00C90E06" w:rsidRPr="00C43835" w:rsidRDefault="00C90E06" w:rsidP="00C90E06">
      <w:pPr>
        <w:jc w:val="both"/>
        <w:rPr>
          <w:rFonts w:ascii="Bookman Old Style" w:hAnsi="Bookman Old Style"/>
          <w:i/>
          <w:sz w:val="24"/>
        </w:rPr>
      </w:pPr>
      <w:r w:rsidRPr="00C43835">
        <w:rPr>
          <w:rFonts w:ascii="Bookman Old Style" w:hAnsi="Bookman Old Style"/>
          <w:b/>
          <w:sz w:val="24"/>
        </w:rPr>
        <w:t>ASSUNTO</w:t>
      </w:r>
      <w:r w:rsidRPr="00C43835">
        <w:rPr>
          <w:rFonts w:ascii="Bookman Old Style" w:hAnsi="Bookman Old Style"/>
          <w:sz w:val="24"/>
        </w:rPr>
        <w:t xml:space="preserve">: Projeto de </w:t>
      </w:r>
      <w:proofErr w:type="gramStart"/>
      <w:r w:rsidRPr="00C43835">
        <w:rPr>
          <w:rFonts w:ascii="Bookman Old Style" w:hAnsi="Bookman Old Style"/>
          <w:sz w:val="24"/>
        </w:rPr>
        <w:t>Lei</w:t>
      </w:r>
      <w:r>
        <w:rPr>
          <w:rFonts w:ascii="Bookman Old Style" w:hAnsi="Bookman Old Style"/>
          <w:sz w:val="24"/>
        </w:rPr>
        <w:t xml:space="preserve"> Legislativo</w:t>
      </w:r>
      <w:proofErr w:type="gramEnd"/>
      <w:r>
        <w:rPr>
          <w:rFonts w:ascii="Bookman Old Style" w:hAnsi="Bookman Old Style"/>
          <w:sz w:val="24"/>
        </w:rPr>
        <w:t xml:space="preserve"> n° 004/2022</w:t>
      </w:r>
      <w:r w:rsidRPr="00C43835">
        <w:rPr>
          <w:rFonts w:ascii="Bookman Old Style" w:hAnsi="Bookman Old Style"/>
          <w:sz w:val="24"/>
        </w:rPr>
        <w:t xml:space="preserve"> </w:t>
      </w:r>
      <w:r w:rsidRPr="00716728">
        <w:rPr>
          <w:rFonts w:ascii="Bookman Old Style" w:hAnsi="Bookman Old Style"/>
          <w:i/>
          <w:sz w:val="24"/>
        </w:rPr>
        <w:t xml:space="preserve">“REVISA </w:t>
      </w:r>
      <w:r w:rsidRPr="00716728">
        <w:rPr>
          <w:rFonts w:ascii="Bookman Old Style" w:hAnsi="Bookman Old Style"/>
          <w:bCs/>
          <w:i/>
          <w:sz w:val="24"/>
        </w:rPr>
        <w:t xml:space="preserve">OS VENCIMENTOS DOS SERVIDORES DA CÂMARA DE VEREADORES </w:t>
      </w:r>
      <w:r w:rsidRPr="00716728">
        <w:rPr>
          <w:rFonts w:ascii="Bookman Old Style" w:hAnsi="Bookman Old Style"/>
          <w:i/>
          <w:sz w:val="24"/>
        </w:rPr>
        <w:t>”.</w:t>
      </w:r>
    </w:p>
    <w:p w:rsidR="00C90E06" w:rsidRPr="00C43835" w:rsidRDefault="00C90E06" w:rsidP="00C90E06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PROPONENTE</w:t>
      </w:r>
      <w:r w:rsidRPr="00C43835">
        <w:rPr>
          <w:rFonts w:ascii="Bookman Old Style" w:hAnsi="Bookman Old Style"/>
          <w:sz w:val="24"/>
        </w:rPr>
        <w:t xml:space="preserve">: Poder </w:t>
      </w:r>
      <w:r>
        <w:rPr>
          <w:rFonts w:ascii="Bookman Old Style" w:hAnsi="Bookman Old Style"/>
          <w:sz w:val="24"/>
        </w:rPr>
        <w:t>Legislativo</w:t>
      </w:r>
    </w:p>
    <w:p w:rsidR="00C90E06" w:rsidRPr="00C43835" w:rsidRDefault="00C90E06" w:rsidP="00C90E0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Data </w:t>
      </w:r>
      <w:r w:rsidRPr="00C43835">
        <w:rPr>
          <w:rFonts w:ascii="Bookman Old Style" w:hAnsi="Bookman Old Style"/>
          <w:sz w:val="24"/>
        </w:rPr>
        <w:t xml:space="preserve">da Distribuição: </w:t>
      </w:r>
      <w:r>
        <w:rPr>
          <w:rFonts w:ascii="Bookman Old Style" w:hAnsi="Bookman Old Style"/>
          <w:sz w:val="24"/>
        </w:rPr>
        <w:t>16/03/2022</w:t>
      </w:r>
      <w:r w:rsidRPr="00C43835">
        <w:rPr>
          <w:rFonts w:ascii="Bookman Old Style" w:hAnsi="Bookman Old Style"/>
          <w:sz w:val="24"/>
        </w:rPr>
        <w:t xml:space="preserve">   Data de votação: </w:t>
      </w:r>
      <w:r>
        <w:rPr>
          <w:rFonts w:ascii="Bookman Old Style" w:hAnsi="Bookman Old Style"/>
          <w:sz w:val="24"/>
        </w:rPr>
        <w:t>23</w:t>
      </w:r>
      <w:bookmarkStart w:id="2" w:name="_GoBack"/>
      <w:bookmarkEnd w:id="2"/>
      <w:r>
        <w:rPr>
          <w:rFonts w:ascii="Bookman Old Style" w:hAnsi="Bookman Old Style"/>
          <w:sz w:val="24"/>
        </w:rPr>
        <w:t>/03/2022</w:t>
      </w:r>
    </w:p>
    <w:p w:rsidR="00C90E06" w:rsidRPr="00C43835" w:rsidRDefault="00C90E06" w:rsidP="00C90E06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C90E06" w:rsidRPr="00C43835" w:rsidRDefault="00C90E06" w:rsidP="00C90E06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C90E06" w:rsidRPr="00C43835" w:rsidRDefault="00C90E06" w:rsidP="00C90E06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RELATÓRIO</w:t>
      </w:r>
    </w:p>
    <w:p w:rsidR="00C90E06" w:rsidRDefault="00C90E06" w:rsidP="00C90E06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Trata-se de projeto de lei com o objetivo </w:t>
      </w:r>
      <w:r>
        <w:rPr>
          <w:rFonts w:ascii="Bookman Old Style" w:hAnsi="Bookman Old Style"/>
          <w:sz w:val="24"/>
        </w:rPr>
        <w:t>concede a revisão geral anual</w:t>
      </w:r>
      <w:r w:rsidRPr="00C43835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da remuneração e das vantagens dos servidores municipais da Câmara de Vereadores</w:t>
      </w:r>
      <w:r w:rsidRPr="00C43835">
        <w:rPr>
          <w:rFonts w:ascii="Bookman Old Style" w:hAnsi="Bookman Old Style"/>
          <w:sz w:val="24"/>
        </w:rPr>
        <w:t xml:space="preserve">. A proposta é </w:t>
      </w:r>
      <w:r>
        <w:rPr>
          <w:rFonts w:ascii="Bookman Old Style" w:hAnsi="Bookman Old Style"/>
          <w:sz w:val="24"/>
        </w:rPr>
        <w:t>conceder a revisão anual de 10,38%, percentual correspondente ao IPCA acumulado dos últimos 12 meses, sem previsão de aumento real, considerando que o cargo não está preenchido desde 2017</w:t>
      </w:r>
      <w:r w:rsidRPr="00C43835">
        <w:rPr>
          <w:rFonts w:ascii="Bookman Old Style" w:hAnsi="Bookman Old Style"/>
          <w:sz w:val="24"/>
        </w:rPr>
        <w:t xml:space="preserve">. </w:t>
      </w:r>
    </w:p>
    <w:p w:rsidR="00C90E06" w:rsidRDefault="00C90E06" w:rsidP="00C90E06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Não consta cálculo de impacto financeiro.</w:t>
      </w:r>
    </w:p>
    <w:p w:rsidR="00C90E06" w:rsidRPr="00C43835" w:rsidRDefault="00C90E06" w:rsidP="00C90E06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À Assessoria Jurídica foi pedido parecer quanto à </w:t>
      </w:r>
      <w:r w:rsidRPr="00C43835">
        <w:rPr>
          <w:rFonts w:ascii="Bookman Old Style" w:hAnsi="Bookman Old Style" w:cs="Arial"/>
          <w:sz w:val="24"/>
        </w:rPr>
        <w:t>legalidade, formalidade e constitucionalidade do projeto de Lei acima referenciado.</w:t>
      </w:r>
    </w:p>
    <w:p w:rsidR="00C90E06" w:rsidRDefault="00C90E06" w:rsidP="00C90E06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É o relatório.</w:t>
      </w:r>
    </w:p>
    <w:p w:rsidR="00C90E06" w:rsidRPr="00C43835" w:rsidRDefault="00C90E06" w:rsidP="00C90E06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C90E06" w:rsidRDefault="00C90E06" w:rsidP="00C90E06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</w:t>
      </w:r>
    </w:p>
    <w:p w:rsidR="00C90E06" w:rsidRPr="00193D40" w:rsidRDefault="00C90E06" w:rsidP="00C90E06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4"/>
          <w:shd w:val="clear" w:color="auto" w:fill="FFFFFF"/>
        </w:rPr>
      </w:pPr>
      <w:r w:rsidRPr="00193D40">
        <w:rPr>
          <w:rFonts w:ascii="Bookman Old Style" w:hAnsi="Bookman Old Style" w:cs="Arial"/>
          <w:sz w:val="24"/>
        </w:rPr>
        <w:t xml:space="preserve">Primeiramente cabe ressaltar que a </w:t>
      </w:r>
      <w:r w:rsidRPr="00193D40">
        <w:rPr>
          <w:rFonts w:ascii="Bookman Old Style" w:hAnsi="Bookman Old Style" w:cs="Arial"/>
          <w:b/>
          <w:sz w:val="24"/>
        </w:rPr>
        <w:t xml:space="preserve">revisão geral anual </w:t>
      </w:r>
      <w:r w:rsidRPr="00193D40">
        <w:rPr>
          <w:rFonts w:ascii="Bookman Old Style" w:hAnsi="Bookman Old Style" w:cs="Arial"/>
          <w:sz w:val="24"/>
          <w:shd w:val="clear" w:color="auto" w:fill="FFFFFF"/>
        </w:rPr>
        <w:t xml:space="preserve">implica </w:t>
      </w:r>
      <w:proofErr w:type="spellStart"/>
      <w:r w:rsidRPr="00193D40">
        <w:rPr>
          <w:rFonts w:ascii="Bookman Old Style" w:hAnsi="Bookman Old Style" w:cs="Arial"/>
          <w:sz w:val="24"/>
          <w:shd w:val="clear" w:color="auto" w:fill="FFFFFF"/>
        </w:rPr>
        <w:t>tão-somente</w:t>
      </w:r>
      <w:proofErr w:type="spellEnd"/>
      <w:r w:rsidRPr="00193D40">
        <w:rPr>
          <w:rFonts w:ascii="Bookman Old Style" w:hAnsi="Bookman Old Style" w:cs="Arial"/>
          <w:sz w:val="24"/>
          <w:shd w:val="clear" w:color="auto" w:fill="FFFFFF"/>
        </w:rPr>
        <w:t xml:space="preserve"> reposição do poder aquisitivo com a manutenção do valor inicial da remuneração ou subsídio, ou seja, representa simplesmente a atualização monetária dos valores percebidos. Revisão geral implica simples manutenção do equilíbrio da equaç</w:t>
      </w:r>
      <w:r>
        <w:rPr>
          <w:rFonts w:ascii="Bookman Old Style" w:hAnsi="Bookman Old Style" w:cs="Arial"/>
          <w:sz w:val="24"/>
          <w:shd w:val="clear" w:color="auto" w:fill="FFFFFF"/>
        </w:rPr>
        <w:t xml:space="preserve">ão inicial, afastando-se a </w:t>
      </w:r>
      <w:r w:rsidRPr="00193D40">
        <w:rPr>
          <w:rFonts w:ascii="Bookman Old Style" w:hAnsi="Bookman Old Style" w:cs="Arial"/>
          <w:sz w:val="24"/>
          <w:shd w:val="clear" w:color="auto" w:fill="FFFFFF"/>
        </w:rPr>
        <w:t>perda sofrida por agentes públicos e servidores em virtude da inflação.</w:t>
      </w:r>
      <w:r w:rsidRPr="00193D40">
        <w:rPr>
          <w:rStyle w:val="apple-converted-space"/>
          <w:rFonts w:ascii="Bookman Old Style" w:hAnsi="Bookman Old Style" w:cs="Arial"/>
          <w:sz w:val="24"/>
          <w:shd w:val="clear" w:color="auto" w:fill="FFFFFF"/>
        </w:rPr>
        <w:t> </w:t>
      </w:r>
      <w:r w:rsidRPr="00193D40">
        <w:rPr>
          <w:rFonts w:ascii="Bookman Old Style" w:hAnsi="Bookman Old Style" w:cs="Arial"/>
          <w:b/>
          <w:sz w:val="24"/>
          <w:shd w:val="clear" w:color="auto" w:fill="FFFFFF"/>
        </w:rPr>
        <w:t>Revisão geral distingue-se de aumento</w:t>
      </w:r>
      <w:r w:rsidRPr="00193D40">
        <w:rPr>
          <w:rFonts w:ascii="Bookman Old Style" w:hAnsi="Bookman Old Style" w:cs="Arial"/>
          <w:sz w:val="24"/>
          <w:shd w:val="clear" w:color="auto" w:fill="FFFFFF"/>
        </w:rPr>
        <w:t>.</w:t>
      </w:r>
    </w:p>
    <w:p w:rsidR="00C90E06" w:rsidRPr="004C53D1" w:rsidRDefault="00C90E06" w:rsidP="00C90E06">
      <w:pPr>
        <w:pStyle w:val="PargrafoNormal"/>
        <w:spacing w:after="0"/>
        <w:ind w:firstLine="1134"/>
        <w:rPr>
          <w:rFonts w:ascii="Bookman Old Style" w:hAnsi="Bookman Old Style"/>
          <w:sz w:val="24"/>
        </w:rPr>
      </w:pPr>
      <w:r w:rsidRPr="004C53D1">
        <w:rPr>
          <w:rFonts w:ascii="Bookman Old Style" w:hAnsi="Bookman Old Style"/>
          <w:sz w:val="24"/>
        </w:rPr>
        <w:t xml:space="preserve">A revisão geral anual dos servidores públicos, sempre na mesma data e sem distinção de índices foi assegurada através da Emenda Constitucional </w:t>
      </w:r>
      <w:r w:rsidRPr="004C53D1">
        <w:rPr>
          <w:rFonts w:ascii="Bookman Old Style" w:hAnsi="Bookman Old Style"/>
          <w:sz w:val="24"/>
        </w:rPr>
        <w:lastRenderedPageBreak/>
        <w:t xml:space="preserve">n°19/98. Assim, a revisão pretendida está prevista no art. 37, inc. X, da </w:t>
      </w:r>
      <w:r w:rsidRPr="004C53D1">
        <w:rPr>
          <w:rFonts w:ascii="Bookman Old Style" w:hAnsi="Bookman Old Style"/>
          <w:b/>
          <w:sz w:val="24"/>
        </w:rPr>
        <w:t>Constituição Federal de 1988</w:t>
      </w:r>
      <w:r w:rsidRPr="004C53D1">
        <w:rPr>
          <w:rFonts w:ascii="Bookman Old Style" w:hAnsi="Bookman Old Style"/>
          <w:sz w:val="24"/>
        </w:rPr>
        <w:t xml:space="preserve">. Entretanto, ao contrário do senso comum, a revisão anual prevista na Constituição Federal não </w:t>
      </w:r>
      <w:r>
        <w:rPr>
          <w:rFonts w:ascii="Bookman Old Style" w:hAnsi="Bookman Old Style"/>
          <w:sz w:val="24"/>
        </w:rPr>
        <w:t xml:space="preserve">se </w:t>
      </w:r>
      <w:r w:rsidRPr="004C53D1">
        <w:rPr>
          <w:rFonts w:ascii="Bookman Old Style" w:hAnsi="Bookman Old Style"/>
          <w:sz w:val="24"/>
        </w:rPr>
        <w:t>trata de direito subjetivo do servidor, não sendo, por conseguinte, autoaplicável</w:t>
      </w:r>
      <w:r>
        <w:rPr>
          <w:rFonts w:ascii="Bookman Old Style" w:hAnsi="Bookman Old Style"/>
          <w:sz w:val="24"/>
        </w:rPr>
        <w:t xml:space="preserve"> conforme temas 864 e 19 do STF</w:t>
      </w:r>
      <w:r w:rsidRPr="004C53D1">
        <w:rPr>
          <w:rFonts w:ascii="Bookman Old Style" w:hAnsi="Bookman Old Style"/>
          <w:sz w:val="24"/>
        </w:rPr>
        <w:t xml:space="preserve">. </w:t>
      </w:r>
      <w:r>
        <w:rPr>
          <w:rFonts w:ascii="Bookman Old Style" w:hAnsi="Bookman Old Style"/>
          <w:sz w:val="24"/>
        </w:rPr>
        <w:t>Bem como</w:t>
      </w:r>
      <w:r w:rsidRPr="004C53D1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é</w:t>
      </w:r>
      <w:r w:rsidRPr="004C53D1">
        <w:rPr>
          <w:rFonts w:ascii="Bookman Old Style" w:hAnsi="Bookman Old Style"/>
          <w:sz w:val="24"/>
        </w:rPr>
        <w:t xml:space="preserve"> descabida a intervenção do Poder Judiciário em caso da não concessão da revisão geral anual, nos termos da Súmula Vinculante nº 37 do STF, “</w:t>
      </w:r>
      <w:r w:rsidRPr="004C53D1">
        <w:rPr>
          <w:rFonts w:ascii="Bookman Old Style" w:hAnsi="Bookman Old Style"/>
          <w:i/>
          <w:sz w:val="24"/>
        </w:rPr>
        <w:t xml:space="preserve">Não cabe ao Poder Judiciário, que não tem função legislativa, aumentar vencimentos de servidores públicos </w:t>
      </w:r>
      <w:proofErr w:type="gramStart"/>
      <w:r w:rsidRPr="004C53D1">
        <w:rPr>
          <w:rFonts w:ascii="Bookman Old Style" w:hAnsi="Bookman Old Style"/>
          <w:i/>
          <w:sz w:val="24"/>
        </w:rPr>
        <w:t>sob fundamento</w:t>
      </w:r>
      <w:proofErr w:type="gramEnd"/>
      <w:r w:rsidRPr="004C53D1">
        <w:rPr>
          <w:rFonts w:ascii="Bookman Old Style" w:hAnsi="Bookman Old Style"/>
          <w:i/>
          <w:sz w:val="24"/>
        </w:rPr>
        <w:t xml:space="preserve"> de isonomia</w:t>
      </w:r>
      <w:r w:rsidRPr="004C53D1">
        <w:rPr>
          <w:rFonts w:ascii="Bookman Old Style" w:hAnsi="Bookman Old Style"/>
          <w:sz w:val="24"/>
        </w:rPr>
        <w:t>”. Segundo decidiu o Supremo Tribunal Federal quando do julgamento dos Temas 864 e 19, foram fixadas as seguintes teses:</w:t>
      </w:r>
    </w:p>
    <w:p w:rsidR="00C90E06" w:rsidRPr="004C53D1" w:rsidRDefault="00C90E06" w:rsidP="00C90E06">
      <w:pPr>
        <w:pStyle w:val="PargrafoNormal"/>
        <w:spacing w:after="0" w:line="240" w:lineRule="auto"/>
        <w:ind w:left="2268" w:firstLine="0"/>
        <w:rPr>
          <w:rFonts w:ascii="Bookman Old Style" w:hAnsi="Bookman Old Style" w:cs="Tahoma"/>
          <w:i/>
          <w:sz w:val="24"/>
        </w:rPr>
      </w:pPr>
      <w:r w:rsidRPr="004C53D1">
        <w:rPr>
          <w:rFonts w:ascii="Bookman Old Style" w:hAnsi="Bookman Old Style" w:cs="Tahoma"/>
          <w:b/>
          <w:i/>
          <w:sz w:val="24"/>
        </w:rPr>
        <w:t>Tema 864</w:t>
      </w:r>
      <w:r w:rsidRPr="004C53D1">
        <w:rPr>
          <w:rFonts w:ascii="Bookman Old Style" w:hAnsi="Bookman Old Style" w:cs="Tahoma"/>
          <w:i/>
          <w:sz w:val="24"/>
        </w:rPr>
        <w:t>: “A revisão geral anual da remuneração dos servidores públicos depende, cumulativamente, de dotação na Lei Orçamentária Anual e de previsão na Lei de Diretrizes Orçamentárias”.</w:t>
      </w:r>
      <w:r w:rsidRPr="004C53D1">
        <w:rPr>
          <w:rFonts w:ascii="Bookman Old Style" w:hAnsi="Bookman Old Style" w:cs="Tahoma"/>
          <w:sz w:val="24"/>
        </w:rPr>
        <w:t xml:space="preserve"> </w:t>
      </w:r>
    </w:p>
    <w:p w:rsidR="00C90E06" w:rsidRPr="004C53D1" w:rsidRDefault="00C90E06" w:rsidP="00C90E06">
      <w:pPr>
        <w:pStyle w:val="PargrafoNormal"/>
        <w:spacing w:after="0" w:line="240" w:lineRule="auto"/>
        <w:ind w:left="2268" w:firstLine="0"/>
        <w:rPr>
          <w:rFonts w:ascii="Bookman Old Style" w:hAnsi="Bookman Old Style" w:cs="Tahoma"/>
          <w:i/>
          <w:sz w:val="24"/>
        </w:rPr>
      </w:pPr>
      <w:r w:rsidRPr="004C53D1">
        <w:rPr>
          <w:rFonts w:ascii="Bookman Old Style" w:hAnsi="Bookman Old Style" w:cs="Tahoma"/>
          <w:b/>
          <w:i/>
          <w:sz w:val="24"/>
        </w:rPr>
        <w:t>Tema 19</w:t>
      </w:r>
      <w:r w:rsidRPr="004C53D1">
        <w:rPr>
          <w:rFonts w:ascii="Bookman Old Style" w:hAnsi="Bookman Old Style" w:cs="Tahoma"/>
          <w:i/>
          <w:sz w:val="24"/>
        </w:rPr>
        <w:t>: “O não encaminhamento de projeto de lei de revisão anual dos vencimentos dos servidores públicos, previsto no inciso X do art. 37 da CF/1988, não gera direito subjetivo a indenização. Deve o Poder Executivo, no entanto, se pronunciar, de forma fundamentada, acerca das razões pelas quais não propôs a revisão”.</w:t>
      </w:r>
    </w:p>
    <w:p w:rsidR="00C90E06" w:rsidRDefault="00C90E06" w:rsidP="00C90E06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iCs/>
          <w:color w:val="auto"/>
          <w:sz w:val="24"/>
        </w:rPr>
      </w:pPr>
      <w:r w:rsidRPr="00716728">
        <w:rPr>
          <w:rFonts w:ascii="Bookman Old Style" w:hAnsi="Bookman Old Style"/>
          <w:iCs/>
          <w:color w:val="auto"/>
          <w:sz w:val="24"/>
        </w:rPr>
        <w:t xml:space="preserve"> </w:t>
      </w:r>
    </w:p>
    <w:p w:rsidR="00C90E06" w:rsidRPr="00C43835" w:rsidRDefault="00C90E06" w:rsidP="00C90E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Helvetica"/>
          <w:sz w:val="24"/>
        </w:rPr>
      </w:pPr>
      <w:r w:rsidRPr="00C43835">
        <w:rPr>
          <w:rFonts w:ascii="Bookman Old Style" w:hAnsi="Bookman Old Style" w:cs="Helvetica"/>
          <w:sz w:val="24"/>
        </w:rPr>
        <w:t xml:space="preserve">Quanto a </w:t>
      </w:r>
      <w:r w:rsidRPr="00C43835">
        <w:rPr>
          <w:rFonts w:ascii="Bookman Old Style" w:hAnsi="Bookman Old Style" w:cs="Helvetica"/>
          <w:b/>
          <w:sz w:val="24"/>
        </w:rPr>
        <w:t>Lei de Responsabilidade Fiscal</w:t>
      </w:r>
      <w:r w:rsidRPr="00C43835">
        <w:rPr>
          <w:rFonts w:ascii="Bookman Old Style" w:hAnsi="Bookman Old Style" w:cs="Helvetica"/>
          <w:sz w:val="24"/>
        </w:rPr>
        <w:t>, o art. 17 diz que, “</w:t>
      </w:r>
      <w:r w:rsidRPr="00C43835">
        <w:rPr>
          <w:rFonts w:ascii="Bookman Old Style" w:hAnsi="Bookman Old Style" w:cs="Arial"/>
          <w:i/>
          <w:sz w:val="24"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C43835">
        <w:rPr>
          <w:rFonts w:ascii="Bookman Old Style" w:hAnsi="Bookman Old Style" w:cs="Arial"/>
          <w:sz w:val="24"/>
        </w:rPr>
        <w:t>”. Nessa norma incluem-se todas as despesas com pessoal. Assim sendo conforme disposto no § 1</w:t>
      </w:r>
      <w:r w:rsidRPr="00C43835">
        <w:rPr>
          <w:rFonts w:ascii="Bookman Old Style" w:hAnsi="Bookman Old Style" w:cs="Arial"/>
          <w:sz w:val="24"/>
          <w:u w:val="single"/>
          <w:vertAlign w:val="superscript"/>
        </w:rPr>
        <w:t>o</w:t>
      </w:r>
      <w:r w:rsidRPr="00C43835">
        <w:rPr>
          <w:rStyle w:val="apple-converted-space"/>
          <w:rFonts w:ascii="Bookman Old Style" w:hAnsi="Bookman Old Style" w:cs="Arial"/>
          <w:sz w:val="24"/>
        </w:rPr>
        <w:t>, “</w:t>
      </w:r>
      <w:r w:rsidRPr="00C43835">
        <w:rPr>
          <w:rFonts w:ascii="Bookman Old Style" w:hAnsi="Bookman Old Style" w:cs="Arial"/>
          <w:i/>
          <w:sz w:val="24"/>
        </w:rPr>
        <w:t>Os atos que criarem ou aumentarem despesa de que trata o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iCs/>
          <w:sz w:val="24"/>
        </w:rPr>
        <w:t>caput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sz w:val="24"/>
        </w:rPr>
        <w:t>deverão ser instruídos com a estimativa prevista no inciso I do art. 16 e demonstrar a origem dos recursos para seu custeio”</w:t>
      </w:r>
      <w:r w:rsidRPr="00C43835">
        <w:rPr>
          <w:rFonts w:ascii="Bookman Old Style" w:hAnsi="Bookman Old Style" w:cs="Arial"/>
          <w:sz w:val="24"/>
        </w:rPr>
        <w:t xml:space="preserve">. </w:t>
      </w:r>
      <w:proofErr w:type="gramStart"/>
      <w:r w:rsidRPr="00C43835">
        <w:rPr>
          <w:rFonts w:ascii="Bookman Old Style" w:hAnsi="Bookman Old Style" w:cs="Arial"/>
          <w:sz w:val="24"/>
        </w:rPr>
        <w:t xml:space="preserve">Entretanto, no caso em apreço, não há necessidade de apresentação de impacto financeiro para o </w:t>
      </w:r>
      <w:r w:rsidRPr="00C43835">
        <w:rPr>
          <w:rFonts w:ascii="Bookman Old Style" w:hAnsi="Bookman Old Style" w:cs="Arial"/>
          <w:sz w:val="24"/>
        </w:rPr>
        <w:lastRenderedPageBreak/>
        <w:t>projeto em tramitação por força do disposto no</w:t>
      </w:r>
      <w:r w:rsidRPr="00C43835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FE1258">
        <w:rPr>
          <w:rFonts w:ascii="Bookman Old Style" w:hAnsi="Bookman Old Style" w:cs="Helvetica"/>
          <w:i/>
          <w:sz w:val="24"/>
          <w:shd w:val="clear" w:color="auto" w:fill="FFFFFF"/>
        </w:rPr>
        <w:t>o acima disposto</w:t>
      </w:r>
      <w:r w:rsidRPr="00FE1258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FE1258">
        <w:rPr>
          <w:rStyle w:val="nfase"/>
          <w:rFonts w:ascii="Bookman Old Style" w:hAnsi="Bookman Old Style" w:cs="Helvetica"/>
          <w:sz w:val="24"/>
          <w:shd w:val="clear" w:color="auto" w:fill="FFFFFF"/>
        </w:rPr>
        <w:t>não se aplica às despesas destinadas ao serviço da dívida</w:t>
      </w:r>
      <w:r w:rsidRPr="000D7584">
        <w:rPr>
          <w:rStyle w:val="apple-converted-space"/>
          <w:rFonts w:ascii="Bookman Old Style" w:hAnsi="Bookman Old Style" w:cs="Helvetica"/>
          <w:b/>
          <w:i/>
          <w:iCs/>
          <w:sz w:val="24"/>
          <w:shd w:val="clear" w:color="auto" w:fill="FFFFFF"/>
        </w:rPr>
        <w:t> </w:t>
      </w:r>
      <w:r w:rsidRPr="000D7584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t>nem ao reajustamento de remuneração de pessoal de que trata o inciso X do art. 37 da Constituição</w:t>
      </w:r>
      <w:r w:rsidRPr="00C43835">
        <w:rPr>
          <w:rStyle w:val="nfase"/>
          <w:rFonts w:ascii="Bookman Old Style" w:hAnsi="Bookman Old Style" w:cs="Helvetica"/>
          <w:sz w:val="24"/>
          <w:shd w:val="clear" w:color="auto" w:fill="FFFFFF"/>
        </w:rPr>
        <w:t>”.</w:t>
      </w:r>
      <w:proofErr w:type="gramEnd"/>
      <w:r w:rsidRPr="00C4383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</w:p>
    <w:p w:rsidR="00C90E06" w:rsidRPr="00716728" w:rsidRDefault="00C90E06" w:rsidP="00C90E06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4"/>
        </w:rPr>
      </w:pPr>
      <w:r w:rsidRPr="00716728">
        <w:rPr>
          <w:rFonts w:ascii="Bookman Old Style" w:hAnsi="Bookman Old Style" w:cs="Arial"/>
          <w:sz w:val="24"/>
        </w:rPr>
        <w:t xml:space="preserve">A </w:t>
      </w:r>
      <w:r w:rsidRPr="00716728">
        <w:rPr>
          <w:rFonts w:ascii="Bookman Old Style" w:hAnsi="Bookman Old Style" w:cs="Arial"/>
          <w:b/>
          <w:sz w:val="24"/>
        </w:rPr>
        <w:t>Lei Municipal nº 435/2004</w:t>
      </w:r>
      <w:r w:rsidRPr="00716728">
        <w:rPr>
          <w:rFonts w:ascii="Bookman Old Style" w:hAnsi="Bookman Old Style" w:cs="Arial"/>
          <w:sz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</w:t>
      </w:r>
      <w:proofErr w:type="gramStart"/>
      <w:r w:rsidRPr="00716728">
        <w:rPr>
          <w:rFonts w:ascii="Bookman Old Style" w:hAnsi="Bookman Old Style" w:cs="Arial"/>
          <w:sz w:val="24"/>
        </w:rPr>
        <w:t>capacidade de pagamento pelo governo, preservados</w:t>
      </w:r>
      <w:proofErr w:type="gramEnd"/>
      <w:r w:rsidRPr="00716728">
        <w:rPr>
          <w:rFonts w:ascii="Bookman Old Style" w:hAnsi="Bookman Old Style" w:cs="Arial"/>
          <w:sz w:val="24"/>
        </w:rPr>
        <w:t xml:space="preserve"> os compromissos relativos a investimentos e despesas continuadas nas áreas prioritárias de interesse econômico e social; atendimento às prescrições referentes aos limites para despesa com pessoal de que tratam o art. 169 da CF e a Lei Complementar n° 101, de 4 de maio de 2000 e; definição do índice em lei específica.</w:t>
      </w:r>
    </w:p>
    <w:p w:rsidR="00C90E06" w:rsidRPr="00716728" w:rsidRDefault="00C90E06" w:rsidP="00C90E06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4"/>
        </w:rPr>
      </w:pPr>
      <w:r w:rsidRPr="00716728">
        <w:rPr>
          <w:rFonts w:ascii="Bookman Old Style" w:hAnsi="Bookman Old Style" w:cs="Arial"/>
          <w:sz w:val="24"/>
        </w:rPr>
        <w:t xml:space="preserve">O índice proposto para a revisão geral é de </w:t>
      </w:r>
      <w:r>
        <w:rPr>
          <w:rFonts w:ascii="Bookman Old Style" w:hAnsi="Bookman Old Style" w:cs="Arial"/>
          <w:sz w:val="24"/>
        </w:rPr>
        <w:t>10,38</w:t>
      </w:r>
      <w:r w:rsidRPr="00716728">
        <w:rPr>
          <w:rFonts w:ascii="Bookman Old Style" w:hAnsi="Bookman Old Style" w:cs="Arial"/>
          <w:sz w:val="24"/>
        </w:rPr>
        <w:t>%, equivalente ao índice do IPCA acumulado dos últimos 12 meses, estando, portanto, o projeto de acordo com a lei do orçamento</w:t>
      </w:r>
      <w:r>
        <w:rPr>
          <w:rFonts w:ascii="Bookman Old Style" w:hAnsi="Bookman Old Style" w:cs="Arial"/>
          <w:sz w:val="24"/>
        </w:rPr>
        <w:t>, legal e constitucional, necessário para manter a remuneração atualizada de acordo com a inflação, independente dos cargos estarem vagos ou não.</w:t>
      </w:r>
    </w:p>
    <w:p w:rsidR="00C90E06" w:rsidRPr="005B69D4" w:rsidRDefault="00C90E06" w:rsidP="00C90E06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5B69D4">
        <w:rPr>
          <w:rFonts w:ascii="Bookman Old Style" w:hAnsi="Bookman Old Style" w:cs="Arial"/>
          <w:sz w:val="24"/>
        </w:rPr>
        <w:t xml:space="preserve">O projeto versa sobre matéria de competência do Município em face do interesse local, encontrando amparo no </w:t>
      </w:r>
      <w:r w:rsidRPr="009D40FD">
        <w:rPr>
          <w:rFonts w:ascii="Bookman Old Style" w:hAnsi="Bookman Old Style" w:cs="Arial"/>
          <w:b/>
          <w:sz w:val="24"/>
        </w:rPr>
        <w:t>artigo 30, i</w:t>
      </w:r>
      <w:r>
        <w:rPr>
          <w:rFonts w:ascii="Bookman Old Style" w:hAnsi="Bookman Old Style" w:cs="Arial"/>
          <w:b/>
          <w:sz w:val="24"/>
        </w:rPr>
        <w:t xml:space="preserve">nciso I da Constituição Federal e </w:t>
      </w:r>
      <w:r w:rsidRPr="005B69D4">
        <w:rPr>
          <w:rFonts w:ascii="Bookman Old Style" w:hAnsi="Bookman Old Style" w:cs="Arial"/>
          <w:sz w:val="24"/>
        </w:rPr>
        <w:t xml:space="preserve">no </w:t>
      </w:r>
      <w:r w:rsidRPr="009D40FD">
        <w:rPr>
          <w:rFonts w:ascii="Bookman Old Style" w:hAnsi="Bookman Old Style" w:cs="Arial"/>
          <w:b/>
          <w:sz w:val="24"/>
        </w:rPr>
        <w:t xml:space="preserve">artigo 30, V, 31 </w:t>
      </w:r>
      <w:r>
        <w:rPr>
          <w:rFonts w:ascii="Bookman Old Style" w:hAnsi="Bookman Old Style" w:cs="Arial"/>
          <w:b/>
          <w:sz w:val="24"/>
        </w:rPr>
        <w:t>XVI</w:t>
      </w:r>
      <w:r w:rsidRPr="009D40FD">
        <w:rPr>
          <w:rFonts w:ascii="Bookman Old Style" w:hAnsi="Bookman Old Style" w:cs="Arial"/>
          <w:b/>
          <w:sz w:val="24"/>
        </w:rPr>
        <w:t>, da Lei Orgânica Municipal</w:t>
      </w:r>
      <w:r w:rsidRPr="005B69D4"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>que</w:t>
      </w:r>
      <w:r w:rsidRPr="005B69D4">
        <w:rPr>
          <w:rFonts w:ascii="Bookman Old Style" w:hAnsi="Bookman Old Style" w:cs="Arial"/>
          <w:sz w:val="24"/>
        </w:rPr>
        <w:t xml:space="preserve"> dispõe que a iniciativa para proposituras de projetos desta natureza é privativa da Câmara Municipal. </w:t>
      </w:r>
    </w:p>
    <w:p w:rsidR="00C90E06" w:rsidRPr="00D05D95" w:rsidRDefault="00C90E06" w:rsidP="00C90E06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lastRenderedPageBreak/>
        <w:t xml:space="preserve">Quanto ao </w:t>
      </w:r>
      <w:r w:rsidRPr="00D05D95">
        <w:rPr>
          <w:rFonts w:ascii="Bookman Old Style" w:hAnsi="Bookman Old Style"/>
          <w:b/>
          <w:sz w:val="24"/>
        </w:rPr>
        <w:t>quórum necessário</w:t>
      </w:r>
      <w:r w:rsidRPr="00D05D95">
        <w:rPr>
          <w:rFonts w:ascii="Bookman Old Style" w:hAnsi="Bookman Old Style"/>
          <w:sz w:val="24"/>
        </w:rPr>
        <w:t xml:space="preserve">, o </w:t>
      </w:r>
      <w:r w:rsidRPr="00D05D95">
        <w:rPr>
          <w:rFonts w:ascii="Bookman Old Style" w:hAnsi="Bookman Old Style"/>
          <w:b/>
          <w:sz w:val="24"/>
        </w:rPr>
        <w:t xml:space="preserve">art.14 da Lei Orgânica Municipal </w:t>
      </w:r>
      <w:r w:rsidRPr="00D05D95">
        <w:rPr>
          <w:rFonts w:ascii="Bookman Old Style" w:hAnsi="Bookman Old Style"/>
          <w:sz w:val="24"/>
        </w:rPr>
        <w:t>regra que</w:t>
      </w:r>
      <w:r w:rsidRPr="00D05D95">
        <w:rPr>
          <w:rFonts w:ascii="Bookman Old Style" w:hAnsi="Bookman Old Style"/>
          <w:b/>
          <w:sz w:val="24"/>
        </w:rPr>
        <w:t xml:space="preserve">, </w:t>
      </w:r>
      <w:r w:rsidRPr="00D05D95">
        <w:rPr>
          <w:rFonts w:ascii="Bookman Old Style" w:hAnsi="Bookman Old Style"/>
          <w:sz w:val="24"/>
        </w:rPr>
        <w:t xml:space="preserve">à exceção de dispositivo constitucional, o quórum para deliberação é o da maioria simples presente, no mínimo, a maioria absoluta dos vereadores. Ainda, o </w:t>
      </w:r>
      <w:r w:rsidRPr="00D05D95">
        <w:rPr>
          <w:rFonts w:ascii="Bookman Old Style" w:hAnsi="Bookman Old Style"/>
          <w:b/>
          <w:sz w:val="24"/>
        </w:rPr>
        <w:t>art. 74 do Regimento Interno da Câmara</w:t>
      </w:r>
      <w:r w:rsidRPr="00D05D95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C90E06" w:rsidRPr="00D05D95" w:rsidRDefault="00C90E06" w:rsidP="00C90E06">
      <w:pPr>
        <w:adjustRightInd w:val="0"/>
        <w:spacing w:line="360" w:lineRule="auto"/>
        <w:ind w:firstLine="1134"/>
        <w:jc w:val="both"/>
        <w:rPr>
          <w:rFonts w:ascii="Bookman Old Style" w:hAnsi="Bookman Old Style" w:cs="Verdana"/>
          <w:sz w:val="24"/>
        </w:rPr>
      </w:pPr>
      <w:r w:rsidRPr="00D05D95">
        <w:rPr>
          <w:rFonts w:ascii="Bookman Old Style" w:hAnsi="Bookman Old Style"/>
          <w:sz w:val="24"/>
        </w:rPr>
        <w:t xml:space="preserve">Quanto ao </w:t>
      </w:r>
      <w:r w:rsidRPr="00D05D95">
        <w:rPr>
          <w:rFonts w:ascii="Bookman Old Style" w:hAnsi="Bookman Old Style"/>
          <w:b/>
          <w:sz w:val="24"/>
        </w:rPr>
        <w:t>mérito</w:t>
      </w:r>
      <w:r w:rsidRPr="00D05D95">
        <w:rPr>
          <w:rFonts w:ascii="Bookman Old Style" w:hAnsi="Bookman Old Style"/>
          <w:sz w:val="24"/>
        </w:rPr>
        <w:t xml:space="preserve">, </w:t>
      </w:r>
      <w:r w:rsidRPr="00D05D95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C90E06" w:rsidRPr="00D05D95" w:rsidRDefault="00C90E06" w:rsidP="00C90E06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</w:p>
    <w:p w:rsidR="00C90E06" w:rsidRPr="00D05D95" w:rsidRDefault="00C90E06" w:rsidP="00C90E06">
      <w:pPr>
        <w:spacing w:line="360" w:lineRule="auto"/>
        <w:ind w:firstLine="1134"/>
        <w:jc w:val="both"/>
        <w:rPr>
          <w:rFonts w:ascii="Bookman Old Style" w:hAnsi="Bookman Old Style" w:cs="Helvetica"/>
          <w:sz w:val="24"/>
          <w:shd w:val="clear" w:color="auto" w:fill="FFFFFF"/>
        </w:rPr>
      </w:pPr>
    </w:p>
    <w:p w:rsidR="00C90E06" w:rsidRPr="00D05D95" w:rsidRDefault="00C90E06" w:rsidP="00C90E0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/>
          <w:sz w:val="24"/>
        </w:rPr>
      </w:pPr>
      <w:r w:rsidRPr="00D05D95">
        <w:rPr>
          <w:rFonts w:ascii="Bookman Old Style" w:hAnsi="Bookman Old Style" w:cs="Arial"/>
          <w:b/>
          <w:sz w:val="24"/>
        </w:rPr>
        <w:t>CONCLUSÃO</w:t>
      </w:r>
    </w:p>
    <w:p w:rsidR="00C90E06" w:rsidRPr="00D05D95" w:rsidRDefault="00C90E06" w:rsidP="00C90E06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Ante o exposto, em atendimento à solicitação de PARECER, esta Assessora Jurídica </w:t>
      </w:r>
      <w:r w:rsidRPr="00D05D95">
        <w:rPr>
          <w:rFonts w:ascii="Bookman Old Style" w:hAnsi="Bookman Old Style" w:cs="Arial"/>
          <w:b/>
          <w:bCs/>
          <w:sz w:val="24"/>
        </w:rPr>
        <w:t>OPINA </w:t>
      </w:r>
      <w:r w:rsidRPr="00D05D95">
        <w:rPr>
          <w:rFonts w:ascii="Bookman Old Style" w:hAnsi="Bookman Old Style" w:cs="Arial"/>
          <w:sz w:val="24"/>
        </w:rPr>
        <w:t xml:space="preserve">pela </w:t>
      </w:r>
      <w:r w:rsidRPr="00D05D95">
        <w:rPr>
          <w:rFonts w:ascii="Bookman Old Style" w:hAnsi="Bookman Old Style" w:cs="Arial"/>
          <w:b/>
          <w:sz w:val="24"/>
        </w:rPr>
        <w:t>CONSTITUCIONALIDADE E LEGALIDADE</w:t>
      </w:r>
      <w:r w:rsidRPr="00D05D95">
        <w:rPr>
          <w:rFonts w:ascii="Bookman Old Style" w:hAnsi="Bookman Old Style" w:cs="Arial"/>
          <w:sz w:val="24"/>
        </w:rPr>
        <w:t xml:space="preserve"> do projeto e sua regular tramitação do Projeto de Lei, cabendo ao Egrégio Plenário apreciar o seu mérito. </w:t>
      </w:r>
    </w:p>
    <w:p w:rsidR="00C90E06" w:rsidRDefault="00C90E06" w:rsidP="00C90E06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</w:rPr>
      </w:pPr>
      <w:r w:rsidRPr="00D05D95">
        <w:rPr>
          <w:rFonts w:ascii="Bookman Old Style" w:hAnsi="Bookman Old Style" w:cs="Arial"/>
          <w:b/>
          <w:bCs/>
          <w:sz w:val="24"/>
        </w:rPr>
        <w:t>É o parecer.</w:t>
      </w:r>
    </w:p>
    <w:p w:rsidR="00C90E06" w:rsidRDefault="00C90E06" w:rsidP="00C90E06">
      <w:pPr>
        <w:spacing w:line="360" w:lineRule="auto"/>
        <w:ind w:firstLine="709"/>
        <w:jc w:val="both"/>
        <w:rPr>
          <w:rFonts w:ascii="Bookman Old Style" w:hAnsi="Bookman Old Style" w:cs="Arial"/>
          <w:b/>
          <w:bCs/>
          <w:sz w:val="24"/>
        </w:rPr>
      </w:pPr>
    </w:p>
    <w:p w:rsidR="00C90E06" w:rsidRPr="00FE1258" w:rsidRDefault="00C90E06" w:rsidP="00C90E06">
      <w:pPr>
        <w:spacing w:line="360" w:lineRule="auto"/>
        <w:ind w:firstLine="709"/>
        <w:jc w:val="right"/>
        <w:rPr>
          <w:rFonts w:ascii="Bookman Old Style" w:hAnsi="Bookman Old Style" w:cs="Arial"/>
          <w:sz w:val="24"/>
        </w:rPr>
      </w:pPr>
      <w:r w:rsidRPr="00FE1258">
        <w:rPr>
          <w:rFonts w:ascii="Bookman Old Style" w:hAnsi="Bookman Old Style" w:cs="Arial"/>
          <w:bCs/>
          <w:sz w:val="24"/>
        </w:rPr>
        <w:t>Presidente Lucena, 16 de março de 2022.</w:t>
      </w:r>
    </w:p>
    <w:p w:rsidR="00C90E06" w:rsidRDefault="00C90E06" w:rsidP="00C90E06">
      <w:pPr>
        <w:spacing w:line="360" w:lineRule="auto"/>
        <w:rPr>
          <w:rFonts w:ascii="Bookman Old Style" w:hAnsi="Bookman Old Style"/>
          <w:sz w:val="24"/>
        </w:rPr>
      </w:pPr>
    </w:p>
    <w:p w:rsidR="00C90E06" w:rsidRDefault="00C90E06" w:rsidP="00C90E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Mariana </w:t>
      </w:r>
      <w:proofErr w:type="spellStart"/>
      <w:r>
        <w:rPr>
          <w:rFonts w:ascii="Bookman Old Style" w:hAnsi="Bookman Old Style"/>
          <w:sz w:val="24"/>
        </w:rPr>
        <w:t>Appel</w:t>
      </w:r>
      <w:proofErr w:type="spellEnd"/>
      <w:r>
        <w:rPr>
          <w:rFonts w:ascii="Bookman Old Style" w:hAnsi="Bookman Old Style"/>
          <w:sz w:val="24"/>
        </w:rPr>
        <w:t xml:space="preserve"> Klein</w:t>
      </w:r>
    </w:p>
    <w:p w:rsidR="00C90E06" w:rsidRDefault="00C90E06" w:rsidP="00C90E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Assessora Jurídica</w:t>
      </w:r>
    </w:p>
    <w:p w:rsidR="00C90E06" w:rsidRDefault="00C90E06" w:rsidP="002C4DAC">
      <w:pPr>
        <w:jc w:val="both"/>
        <w:rPr>
          <w:b/>
          <w:sz w:val="24"/>
        </w:rPr>
      </w:pPr>
    </w:p>
    <w:sectPr w:rsidR="00C90E06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02F48"/>
    <w:rsid w:val="00112F64"/>
    <w:rsid w:val="00121952"/>
    <w:rsid w:val="0012216A"/>
    <w:rsid w:val="00126C2A"/>
    <w:rsid w:val="001553ED"/>
    <w:rsid w:val="00160E71"/>
    <w:rsid w:val="00194A8A"/>
    <w:rsid w:val="00197BE5"/>
    <w:rsid w:val="00202A5F"/>
    <w:rsid w:val="0020625E"/>
    <w:rsid w:val="00267F85"/>
    <w:rsid w:val="002A5C64"/>
    <w:rsid w:val="002A7D8F"/>
    <w:rsid w:val="002C4DAC"/>
    <w:rsid w:val="002D0636"/>
    <w:rsid w:val="002F5625"/>
    <w:rsid w:val="00311031"/>
    <w:rsid w:val="00334000"/>
    <w:rsid w:val="00363168"/>
    <w:rsid w:val="003C06C0"/>
    <w:rsid w:val="003C407D"/>
    <w:rsid w:val="003F3F33"/>
    <w:rsid w:val="00451055"/>
    <w:rsid w:val="0046278F"/>
    <w:rsid w:val="00465C88"/>
    <w:rsid w:val="00474742"/>
    <w:rsid w:val="004B30D6"/>
    <w:rsid w:val="00560928"/>
    <w:rsid w:val="005932BA"/>
    <w:rsid w:val="005C0C4F"/>
    <w:rsid w:val="00661BA2"/>
    <w:rsid w:val="0066316F"/>
    <w:rsid w:val="006A75CF"/>
    <w:rsid w:val="006C6D97"/>
    <w:rsid w:val="006D4BB1"/>
    <w:rsid w:val="00743C65"/>
    <w:rsid w:val="00763042"/>
    <w:rsid w:val="007A1E0E"/>
    <w:rsid w:val="007A2A39"/>
    <w:rsid w:val="007B1CA7"/>
    <w:rsid w:val="007B4A1C"/>
    <w:rsid w:val="00893037"/>
    <w:rsid w:val="008A3DB7"/>
    <w:rsid w:val="008B7710"/>
    <w:rsid w:val="008D1488"/>
    <w:rsid w:val="008D3CCF"/>
    <w:rsid w:val="008E29AA"/>
    <w:rsid w:val="00A118F0"/>
    <w:rsid w:val="00A40419"/>
    <w:rsid w:val="00A67BCE"/>
    <w:rsid w:val="00A960D6"/>
    <w:rsid w:val="00AE4C08"/>
    <w:rsid w:val="00BA20AE"/>
    <w:rsid w:val="00BB12BC"/>
    <w:rsid w:val="00BE48BC"/>
    <w:rsid w:val="00C35A4D"/>
    <w:rsid w:val="00C739C4"/>
    <w:rsid w:val="00C90E06"/>
    <w:rsid w:val="00C931AD"/>
    <w:rsid w:val="00D70A9D"/>
    <w:rsid w:val="00E04664"/>
    <w:rsid w:val="00E20690"/>
    <w:rsid w:val="00E3526A"/>
    <w:rsid w:val="00E74692"/>
    <w:rsid w:val="00EA42CD"/>
    <w:rsid w:val="00EE6A0C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A7D8F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2A7D8F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A7D8F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A7D8F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2A7D8F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paragraph" w:customStyle="1" w:styleId="A282868">
    <w:name w:val="_A282868"/>
    <w:rsid w:val="008D148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8D3CCF"/>
    <w:rPr>
      <w:b/>
      <w:sz w:val="24"/>
    </w:rPr>
  </w:style>
  <w:style w:type="paragraph" w:styleId="NormalWeb">
    <w:name w:val="Normal (Web)"/>
    <w:basedOn w:val="Normal"/>
    <w:uiPriority w:val="99"/>
    <w:unhideWhenUsed/>
    <w:rsid w:val="00C90E06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paragraph" w:styleId="PargrafodaLista">
    <w:name w:val="List Paragraph"/>
    <w:basedOn w:val="Normal"/>
    <w:uiPriority w:val="34"/>
    <w:qFormat/>
    <w:rsid w:val="00C90E06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customStyle="1" w:styleId="PargrafoNormalChar">
    <w:name w:val="Parágrafo Normal Char"/>
    <w:basedOn w:val="Fontepargpadro"/>
    <w:link w:val="PargrafoNormal"/>
    <w:locked/>
    <w:rsid w:val="00C90E06"/>
    <w:rPr>
      <w:rFonts w:ascii="Arial" w:hAnsi="Arial" w:cs="Arial"/>
      <w:color w:val="000000"/>
      <w:sz w:val="28"/>
      <w:szCs w:val="24"/>
    </w:rPr>
  </w:style>
  <w:style w:type="paragraph" w:customStyle="1" w:styleId="PargrafoNormal">
    <w:name w:val="Parágrafo Normal"/>
    <w:basedOn w:val="Normal"/>
    <w:link w:val="PargrafoNormalChar"/>
    <w:rsid w:val="00C90E06"/>
    <w:pPr>
      <w:autoSpaceDE/>
      <w:autoSpaceDN/>
      <w:spacing w:after="60" w:line="360" w:lineRule="auto"/>
      <w:ind w:firstLine="1418"/>
      <w:jc w:val="both"/>
    </w:pPr>
    <w:rPr>
      <w:rFonts w:ascii="Arial" w:hAnsi="Arial" w:cs="Arial"/>
      <w:color w:val="000000"/>
      <w:sz w:val="28"/>
      <w:szCs w:val="24"/>
    </w:rPr>
  </w:style>
  <w:style w:type="character" w:customStyle="1" w:styleId="apple-converted-space">
    <w:name w:val="apple-converted-space"/>
    <w:basedOn w:val="Fontepargpadro"/>
    <w:rsid w:val="00C90E06"/>
  </w:style>
  <w:style w:type="character" w:styleId="nfase">
    <w:name w:val="Emphasis"/>
    <w:basedOn w:val="Fontepargpadro"/>
    <w:uiPriority w:val="20"/>
    <w:qFormat/>
    <w:rsid w:val="00C90E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paragraph" w:customStyle="1" w:styleId="A282868">
    <w:name w:val="_A282868"/>
    <w:rsid w:val="008D148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8D3CC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2020-03-11T22:27:00Z</cp:lastPrinted>
  <dcterms:created xsi:type="dcterms:W3CDTF">2022-03-26T01:17:00Z</dcterms:created>
  <dcterms:modified xsi:type="dcterms:W3CDTF">2022-03-26T01:17:00Z</dcterms:modified>
</cp:coreProperties>
</file>